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D61E" w14:textId="4598DF00" w:rsidR="00340D0C" w:rsidRDefault="005555DE" w:rsidP="008875C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CA0DB0">
        <w:rPr>
          <w:rFonts w:cstheme="minorHAnsi"/>
          <w:color w:val="000000"/>
          <w:sz w:val="20"/>
          <w:szCs w:val="20"/>
        </w:rPr>
        <w:t xml:space="preserve">Informacja prasowa                 </w:t>
      </w:r>
      <w:r w:rsidR="00A619A7">
        <w:rPr>
          <w:rFonts w:cstheme="minorHAnsi"/>
          <w:color w:val="000000"/>
          <w:sz w:val="20"/>
          <w:szCs w:val="20"/>
        </w:rPr>
        <w:t xml:space="preserve">     </w:t>
      </w:r>
      <w:r w:rsidRPr="00CA0DB0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Warszawa, </w:t>
      </w:r>
      <w:r w:rsidR="008958D2">
        <w:rPr>
          <w:rFonts w:cstheme="minorHAnsi"/>
          <w:color w:val="000000"/>
          <w:sz w:val="20"/>
          <w:szCs w:val="20"/>
        </w:rPr>
        <w:t>21</w:t>
      </w:r>
      <w:r w:rsidRPr="00CA0DB0">
        <w:rPr>
          <w:rFonts w:cstheme="minorHAnsi"/>
          <w:color w:val="000000"/>
          <w:sz w:val="20"/>
          <w:szCs w:val="20"/>
        </w:rPr>
        <w:t xml:space="preserve"> </w:t>
      </w:r>
      <w:r w:rsidR="008958D2">
        <w:rPr>
          <w:rFonts w:cstheme="minorHAnsi"/>
          <w:color w:val="000000"/>
          <w:sz w:val="20"/>
          <w:szCs w:val="20"/>
        </w:rPr>
        <w:t>września</w:t>
      </w:r>
      <w:r w:rsidRPr="00CA0DB0">
        <w:rPr>
          <w:rFonts w:cstheme="minorHAnsi"/>
          <w:color w:val="000000"/>
          <w:sz w:val="20"/>
          <w:szCs w:val="20"/>
        </w:rPr>
        <w:t xml:space="preserve"> 202</w:t>
      </w:r>
      <w:r w:rsidR="00CC515F" w:rsidRPr="00CA0DB0">
        <w:rPr>
          <w:rFonts w:cstheme="minorHAnsi"/>
          <w:color w:val="000000"/>
          <w:sz w:val="20"/>
          <w:szCs w:val="20"/>
        </w:rPr>
        <w:t>2</w:t>
      </w:r>
      <w:r w:rsidRPr="00CA0DB0">
        <w:rPr>
          <w:rFonts w:cstheme="minorHAnsi"/>
          <w:color w:val="000000"/>
          <w:sz w:val="20"/>
          <w:szCs w:val="20"/>
        </w:rPr>
        <w:t xml:space="preserve"> r.</w:t>
      </w:r>
    </w:p>
    <w:p w14:paraId="4BDBFD35" w14:textId="77777777" w:rsidR="008875CD" w:rsidRPr="008875CD" w:rsidRDefault="008875CD" w:rsidP="008875CD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050B80E" w14:textId="014EE7C3" w:rsidR="009C6385" w:rsidRPr="00391C6C" w:rsidRDefault="00795350" w:rsidP="009C6385">
      <w:pPr>
        <w:spacing w:line="252" w:lineRule="auto"/>
        <w:jc w:val="center"/>
        <w:rPr>
          <w:b/>
          <w:bCs/>
          <w:sz w:val="24"/>
          <w:szCs w:val="24"/>
        </w:rPr>
      </w:pPr>
      <w:r w:rsidRPr="00391C6C">
        <w:rPr>
          <w:b/>
          <w:bCs/>
          <w:sz w:val="24"/>
          <w:szCs w:val="24"/>
        </w:rPr>
        <w:t xml:space="preserve">Global Hydrogen </w:t>
      </w:r>
      <w:r w:rsidR="00391C6C" w:rsidRPr="00391C6C">
        <w:rPr>
          <w:b/>
          <w:bCs/>
          <w:sz w:val="24"/>
          <w:szCs w:val="24"/>
        </w:rPr>
        <w:t>poszer</w:t>
      </w:r>
      <w:r w:rsidR="00391C6C">
        <w:rPr>
          <w:b/>
          <w:bCs/>
          <w:sz w:val="24"/>
          <w:szCs w:val="24"/>
        </w:rPr>
        <w:t xml:space="preserve">za obszar działalności w branży zielonej energii </w:t>
      </w:r>
      <w:r w:rsidR="007205C4">
        <w:rPr>
          <w:b/>
          <w:bCs/>
          <w:sz w:val="24"/>
          <w:szCs w:val="24"/>
        </w:rPr>
        <w:br/>
        <w:t>i przyspiesza rozwój biznesu</w:t>
      </w:r>
    </w:p>
    <w:p w14:paraId="6F5731BA" w14:textId="337B49F9" w:rsidR="00554DE9" w:rsidRDefault="00277DED" w:rsidP="005F6F32">
      <w:pPr>
        <w:spacing w:line="276" w:lineRule="auto"/>
        <w:jc w:val="both"/>
        <w:rPr>
          <w:b/>
          <w:bCs/>
        </w:rPr>
      </w:pPr>
      <w:r w:rsidRPr="00324219">
        <w:rPr>
          <w:b/>
          <w:bCs/>
        </w:rPr>
        <w:t>Global Hydrogen</w:t>
      </w:r>
      <w:r w:rsidR="005C2AEE">
        <w:rPr>
          <w:b/>
          <w:bCs/>
        </w:rPr>
        <w:t xml:space="preserve">, </w:t>
      </w:r>
      <w:r w:rsidR="00A857D0">
        <w:rPr>
          <w:b/>
          <w:bCs/>
        </w:rPr>
        <w:t>notowana na NewConnect firma</w:t>
      </w:r>
      <w:r w:rsidR="00C00FEA">
        <w:rPr>
          <w:b/>
          <w:bCs/>
        </w:rPr>
        <w:t xml:space="preserve"> z branży </w:t>
      </w:r>
      <w:r w:rsidR="005C2AEE">
        <w:rPr>
          <w:b/>
          <w:bCs/>
        </w:rPr>
        <w:t>energii alternatywnej</w:t>
      </w:r>
      <w:r w:rsidR="00AD35DB">
        <w:rPr>
          <w:b/>
          <w:bCs/>
        </w:rPr>
        <w:t>,</w:t>
      </w:r>
      <w:r w:rsidR="00A21664">
        <w:rPr>
          <w:b/>
          <w:bCs/>
        </w:rPr>
        <w:t xml:space="preserve"> kupuje spółkę </w:t>
      </w:r>
      <w:r w:rsidR="00514A2C">
        <w:rPr>
          <w:b/>
          <w:bCs/>
        </w:rPr>
        <w:t>technologiczn</w:t>
      </w:r>
      <w:r w:rsidR="00AD35DB">
        <w:rPr>
          <w:b/>
          <w:bCs/>
        </w:rPr>
        <w:t>o - inżynieryjną</w:t>
      </w:r>
      <w:r w:rsidR="00514A2C">
        <w:rPr>
          <w:b/>
          <w:bCs/>
        </w:rPr>
        <w:t xml:space="preserve"> </w:t>
      </w:r>
      <w:r w:rsidR="00A21664">
        <w:rPr>
          <w:b/>
          <w:bCs/>
        </w:rPr>
        <w:t>Turbo Green Electric</w:t>
      </w:r>
      <w:r w:rsidR="00514A2C">
        <w:rPr>
          <w:b/>
          <w:bCs/>
        </w:rPr>
        <w:t xml:space="preserve">. Transakcja </w:t>
      </w:r>
      <w:r w:rsidR="00135FC0">
        <w:rPr>
          <w:b/>
          <w:bCs/>
        </w:rPr>
        <w:t xml:space="preserve">o wartości 10 mln złotych, pozwoli na przyspieszenie rozwoju biznesu w obszarze zielonej energii. </w:t>
      </w:r>
      <w:r w:rsidR="004A496A">
        <w:rPr>
          <w:b/>
          <w:bCs/>
        </w:rPr>
        <w:t xml:space="preserve">Spółki razem skomercjalizują </w:t>
      </w:r>
      <w:r w:rsidR="00A51274">
        <w:rPr>
          <w:b/>
          <w:bCs/>
        </w:rPr>
        <w:t>systemy d</w:t>
      </w:r>
      <w:r w:rsidR="00780F26">
        <w:rPr>
          <w:b/>
          <w:bCs/>
        </w:rPr>
        <w:t>o produkcji biogazu</w:t>
      </w:r>
      <w:r w:rsidR="00A51274">
        <w:rPr>
          <w:b/>
          <w:bCs/>
        </w:rPr>
        <w:t xml:space="preserve">. Równolegle Global Hydrogen </w:t>
      </w:r>
      <w:r w:rsidR="008137B9">
        <w:rPr>
          <w:b/>
          <w:bCs/>
        </w:rPr>
        <w:t xml:space="preserve">poprzez Turbo Green Electric </w:t>
      </w:r>
      <w:r w:rsidR="00A51274">
        <w:rPr>
          <w:b/>
          <w:bCs/>
        </w:rPr>
        <w:t xml:space="preserve">na podstawie </w:t>
      </w:r>
      <w:r w:rsidR="008137B9">
        <w:rPr>
          <w:b/>
          <w:bCs/>
        </w:rPr>
        <w:t>licencji i we współpracy z</w:t>
      </w:r>
      <w:r w:rsidR="0081647D">
        <w:rPr>
          <w:b/>
          <w:bCs/>
        </w:rPr>
        <w:t xml:space="preserve"> mPower Green Tech</w:t>
      </w:r>
      <w:r w:rsidR="008137B9">
        <w:rPr>
          <w:b/>
          <w:bCs/>
        </w:rPr>
        <w:t>,</w:t>
      </w:r>
      <w:r w:rsidR="00A51274">
        <w:rPr>
          <w:b/>
          <w:bCs/>
        </w:rPr>
        <w:t xml:space="preserve"> </w:t>
      </w:r>
      <w:r w:rsidR="009E2E0D">
        <w:rPr>
          <w:b/>
          <w:bCs/>
        </w:rPr>
        <w:t>będzie kontynuował</w:t>
      </w:r>
      <w:r w:rsidR="008137B9">
        <w:rPr>
          <w:b/>
          <w:bCs/>
        </w:rPr>
        <w:t>a</w:t>
      </w:r>
      <w:r w:rsidR="009E2E0D">
        <w:rPr>
          <w:b/>
          <w:bCs/>
        </w:rPr>
        <w:t xml:space="preserve"> rozwój </w:t>
      </w:r>
      <w:r w:rsidR="00103460">
        <w:rPr>
          <w:b/>
          <w:bCs/>
        </w:rPr>
        <w:t>technologii</w:t>
      </w:r>
      <w:r w:rsidR="00780F26">
        <w:rPr>
          <w:b/>
          <w:bCs/>
        </w:rPr>
        <w:t xml:space="preserve"> czystego gazu syntezowego</w:t>
      </w:r>
      <w:r w:rsidR="001D1214">
        <w:rPr>
          <w:b/>
          <w:bCs/>
        </w:rPr>
        <w:t>, umożliwiającego produkcję zielone</w:t>
      </w:r>
      <w:r w:rsidR="007205C4">
        <w:rPr>
          <w:b/>
          <w:bCs/>
        </w:rPr>
        <w:t>go</w:t>
      </w:r>
      <w:r w:rsidR="001D1214">
        <w:rPr>
          <w:b/>
          <w:bCs/>
        </w:rPr>
        <w:t xml:space="preserve"> wodoru.</w:t>
      </w:r>
      <w:r w:rsidR="008137B9">
        <w:rPr>
          <w:b/>
          <w:bCs/>
        </w:rPr>
        <w:t xml:space="preserve"> </w:t>
      </w:r>
    </w:p>
    <w:p w14:paraId="6E8E943D" w14:textId="2277EDE8" w:rsidR="00C00FEA" w:rsidRDefault="00AB6BDE" w:rsidP="005F6F32">
      <w:pPr>
        <w:spacing w:line="276" w:lineRule="auto"/>
        <w:jc w:val="both"/>
        <w:rPr>
          <w:rFonts w:eastAsia="Calibri" w:cstheme="minorHAnsi"/>
        </w:rPr>
      </w:pPr>
      <w:r w:rsidRPr="00934F85">
        <w:t>Global Hydrogen przejmuje 100</w:t>
      </w:r>
      <w:r w:rsidR="008875CD">
        <w:t xml:space="preserve"> proc.</w:t>
      </w:r>
      <w:r w:rsidRPr="00934F85">
        <w:t xml:space="preserve"> akcji Turbo Green Electric. Cała wartość transakcji </w:t>
      </w:r>
      <w:r w:rsidR="008137B9" w:rsidRPr="00934F85">
        <w:t>wyn</w:t>
      </w:r>
      <w:r w:rsidR="008137B9">
        <w:t xml:space="preserve">osi </w:t>
      </w:r>
      <w:r w:rsidRPr="00934F85">
        <w:t>10 mln zł</w:t>
      </w:r>
      <w:r w:rsidR="008875CD">
        <w:t>otych</w:t>
      </w:r>
      <w:r w:rsidRPr="00934F85">
        <w:t xml:space="preserve">, z czego </w:t>
      </w:r>
      <w:r w:rsidR="00641CEE" w:rsidRPr="00934F85">
        <w:t>7 mln złotych zostanie zapłaconych do 27 września, a pozostała część</w:t>
      </w:r>
      <w:r w:rsidR="002D7FCC" w:rsidRPr="00934F85">
        <w:t xml:space="preserve"> do 10 października 202</w:t>
      </w:r>
      <w:r w:rsidR="005938FB" w:rsidRPr="00934F85">
        <w:t xml:space="preserve">2 r. </w:t>
      </w:r>
      <w:r w:rsidR="00C00FEA" w:rsidRPr="00C00FEA">
        <w:rPr>
          <w:rFonts w:eastAsia="Calibri" w:cstheme="minorHAnsi"/>
        </w:rPr>
        <w:t xml:space="preserve">Turbo Green Electric </w:t>
      </w:r>
      <w:r w:rsidR="00B87ECA" w:rsidRPr="00934F85">
        <w:rPr>
          <w:rFonts w:eastAsia="Calibri" w:cstheme="minorHAnsi"/>
        </w:rPr>
        <w:t xml:space="preserve">ma wyłączną </w:t>
      </w:r>
      <w:r w:rsidR="00C00FEA" w:rsidRPr="00C00FEA">
        <w:rPr>
          <w:rFonts w:eastAsia="Calibri" w:cstheme="minorHAnsi"/>
        </w:rPr>
        <w:t>licencj</w:t>
      </w:r>
      <w:r w:rsidR="00B87ECA" w:rsidRPr="00934F85">
        <w:rPr>
          <w:rFonts w:eastAsia="Calibri" w:cstheme="minorHAnsi"/>
        </w:rPr>
        <w:t>ę</w:t>
      </w:r>
      <w:r w:rsidR="007205C4">
        <w:rPr>
          <w:rFonts w:eastAsia="Calibri" w:cstheme="minorHAnsi"/>
        </w:rPr>
        <w:t xml:space="preserve"> na</w:t>
      </w:r>
      <w:r w:rsidR="00C00FEA" w:rsidRPr="00C00FEA">
        <w:rPr>
          <w:rFonts w:eastAsia="Calibri" w:cstheme="minorHAnsi"/>
        </w:rPr>
        <w:t xml:space="preserve"> opatentowane rozwiązania biogazowni w technologii SMBP</w:t>
      </w:r>
      <w:r w:rsidR="00AE2A1B" w:rsidRPr="00934F85">
        <w:rPr>
          <w:rFonts w:eastAsia="Calibri" w:cstheme="minorHAnsi"/>
        </w:rPr>
        <w:t>. Polega</w:t>
      </w:r>
      <w:r w:rsidR="00C00FEA" w:rsidRPr="00C00FEA">
        <w:rPr>
          <w:rFonts w:eastAsia="Calibri" w:cstheme="minorHAnsi"/>
        </w:rPr>
        <w:t xml:space="preserve"> </w:t>
      </w:r>
      <w:r w:rsidR="00AE2A1B" w:rsidRPr="00934F85">
        <w:rPr>
          <w:rFonts w:eastAsia="Calibri" w:cstheme="minorHAnsi"/>
        </w:rPr>
        <w:t xml:space="preserve">ona na działaniu </w:t>
      </w:r>
      <w:r w:rsidR="00C00FEA" w:rsidRPr="00C00FEA">
        <w:rPr>
          <w:rFonts w:eastAsia="Calibri" w:cstheme="minorHAnsi"/>
        </w:rPr>
        <w:t>reaktor</w:t>
      </w:r>
      <w:r w:rsidR="004A5F86" w:rsidRPr="00934F85">
        <w:rPr>
          <w:rFonts w:eastAsia="Calibri" w:cstheme="minorHAnsi"/>
        </w:rPr>
        <w:t>a</w:t>
      </w:r>
      <w:r w:rsidR="00C00FEA" w:rsidRPr="00C00FEA">
        <w:rPr>
          <w:rFonts w:eastAsia="Calibri" w:cstheme="minorHAnsi"/>
        </w:rPr>
        <w:t xml:space="preserve"> fermentacji</w:t>
      </w:r>
      <w:r w:rsidR="006A427C" w:rsidRPr="00934F85">
        <w:rPr>
          <w:rFonts w:eastAsia="Calibri" w:cstheme="minorHAnsi"/>
        </w:rPr>
        <w:t xml:space="preserve"> biomasy w warunkach beztlenowych</w:t>
      </w:r>
      <w:r w:rsidR="00C00FEA" w:rsidRPr="00C00FEA">
        <w:rPr>
          <w:rFonts w:eastAsia="Calibri" w:cstheme="minorHAnsi"/>
        </w:rPr>
        <w:t xml:space="preserve"> oraz proces</w:t>
      </w:r>
      <w:r w:rsidR="006A427C" w:rsidRPr="00934F85">
        <w:rPr>
          <w:rFonts w:eastAsia="Calibri" w:cstheme="minorHAnsi"/>
        </w:rPr>
        <w:t>ie</w:t>
      </w:r>
      <w:r w:rsidR="00C00FEA" w:rsidRPr="00C00FEA">
        <w:rPr>
          <w:rFonts w:eastAsia="Calibri" w:cstheme="minorHAnsi"/>
        </w:rPr>
        <w:t xml:space="preserve"> mieszania w komorze bioreaktora bez </w:t>
      </w:r>
      <w:r w:rsidR="004A5F86" w:rsidRPr="00934F85">
        <w:rPr>
          <w:rFonts w:eastAsia="Calibri" w:cstheme="minorHAnsi"/>
        </w:rPr>
        <w:t>użycia</w:t>
      </w:r>
      <w:r w:rsidR="00C00FEA" w:rsidRPr="00C00FEA">
        <w:rPr>
          <w:rFonts w:eastAsia="Calibri" w:cstheme="minorHAnsi"/>
        </w:rPr>
        <w:t xml:space="preserve"> energii zewnętrznej.</w:t>
      </w:r>
      <w:r w:rsidR="006A427C" w:rsidRPr="00934F85">
        <w:rPr>
          <w:rFonts w:eastAsia="Calibri" w:cstheme="minorHAnsi"/>
        </w:rPr>
        <w:t xml:space="preserve"> Efektem końcowym jest biogaz</w:t>
      </w:r>
      <w:r w:rsidR="00934F85" w:rsidRPr="00934F85">
        <w:rPr>
          <w:rFonts w:eastAsia="Calibri" w:cstheme="minorHAnsi"/>
        </w:rPr>
        <w:t>, z istotnie większy</w:t>
      </w:r>
      <w:r w:rsidR="007205C4">
        <w:rPr>
          <w:rFonts w:eastAsia="Calibri" w:cstheme="minorHAnsi"/>
        </w:rPr>
        <w:t>m</w:t>
      </w:r>
      <w:r w:rsidR="00934F85" w:rsidRPr="00934F85">
        <w:rPr>
          <w:rFonts w:eastAsia="Calibri" w:cstheme="minorHAnsi"/>
        </w:rPr>
        <w:t xml:space="preserve"> udział</w:t>
      </w:r>
      <w:r w:rsidR="007205C4">
        <w:rPr>
          <w:rFonts w:eastAsia="Calibri" w:cstheme="minorHAnsi"/>
        </w:rPr>
        <w:t>em</w:t>
      </w:r>
      <w:r w:rsidR="00934F85" w:rsidRPr="00934F85">
        <w:rPr>
          <w:rFonts w:eastAsia="Calibri" w:cstheme="minorHAnsi"/>
        </w:rPr>
        <w:t xml:space="preserve"> metanu niż </w:t>
      </w:r>
      <w:r w:rsidR="007205C4">
        <w:rPr>
          <w:rFonts w:eastAsia="Calibri" w:cstheme="minorHAnsi"/>
        </w:rPr>
        <w:t>ten powstający z</w:t>
      </w:r>
      <w:r w:rsidR="00934F85" w:rsidRPr="00934F85">
        <w:rPr>
          <w:rFonts w:eastAsia="Calibri" w:cstheme="minorHAnsi"/>
        </w:rPr>
        <w:t xml:space="preserve"> wykorzystaniem dotychczas stosowanych metod.</w:t>
      </w:r>
      <w:r w:rsidR="00C00FEA" w:rsidRPr="00C00FEA">
        <w:rPr>
          <w:rFonts w:eastAsia="Calibri" w:cstheme="minorHAnsi"/>
        </w:rPr>
        <w:t xml:space="preserve"> Technologia ta została wypracowana przez polski zespół naukowo-technologiczny. </w:t>
      </w:r>
      <w:r w:rsidR="004A5F86" w:rsidRPr="00934F85">
        <w:rPr>
          <w:rFonts w:eastAsia="Calibri" w:cstheme="minorHAnsi"/>
        </w:rPr>
        <w:t xml:space="preserve">Zespół Turbo Green Electric </w:t>
      </w:r>
      <w:r w:rsidR="009C0D40" w:rsidRPr="00934F85">
        <w:rPr>
          <w:rFonts w:eastAsia="Calibri" w:cstheme="minorHAnsi"/>
        </w:rPr>
        <w:t>ma za sobą już pierwsze wdrożenia w Polsce</w:t>
      </w:r>
      <w:r w:rsidR="001C5F73">
        <w:rPr>
          <w:rFonts w:eastAsia="Calibri" w:cstheme="minorHAnsi"/>
        </w:rPr>
        <w:t xml:space="preserve"> zrealizowane w oparciu o</w:t>
      </w:r>
      <w:r w:rsidR="009C0D40" w:rsidRPr="00934F85">
        <w:rPr>
          <w:rFonts w:eastAsia="Calibri" w:cstheme="minorHAnsi"/>
        </w:rPr>
        <w:t xml:space="preserve"> </w:t>
      </w:r>
      <w:r w:rsidR="001C5F73">
        <w:rPr>
          <w:rFonts w:eastAsia="Calibri" w:cstheme="minorHAnsi"/>
        </w:rPr>
        <w:t>tę</w:t>
      </w:r>
      <w:r w:rsidR="009C0D40" w:rsidRPr="00934F85">
        <w:rPr>
          <w:rFonts w:eastAsia="Calibri" w:cstheme="minorHAnsi"/>
        </w:rPr>
        <w:t xml:space="preserve"> </w:t>
      </w:r>
      <w:r w:rsidR="001C5F73" w:rsidRPr="00934F85">
        <w:rPr>
          <w:rFonts w:eastAsia="Calibri" w:cstheme="minorHAnsi"/>
        </w:rPr>
        <w:t>technolog</w:t>
      </w:r>
      <w:r w:rsidR="001C5F73">
        <w:rPr>
          <w:rFonts w:eastAsia="Calibri" w:cstheme="minorHAnsi"/>
        </w:rPr>
        <w:t>ię</w:t>
      </w:r>
      <w:r w:rsidR="009C0D40" w:rsidRPr="00934F85">
        <w:rPr>
          <w:rFonts w:eastAsia="Calibri" w:cstheme="minorHAnsi"/>
        </w:rPr>
        <w:t>.</w:t>
      </w:r>
    </w:p>
    <w:p w14:paraId="3FE6C307" w14:textId="1154CCA3" w:rsidR="008507FC" w:rsidRDefault="004B79BE" w:rsidP="005F6F32">
      <w:pPr>
        <w:spacing w:line="276" w:lineRule="auto"/>
        <w:jc w:val="both"/>
      </w:pPr>
      <w:r>
        <w:t xml:space="preserve">- </w:t>
      </w:r>
      <w:r w:rsidR="00881A29">
        <w:rPr>
          <w:i/>
          <w:iCs/>
        </w:rPr>
        <w:t xml:space="preserve">Obecny rok </w:t>
      </w:r>
      <w:r w:rsidR="00C216A5" w:rsidRPr="00881A29">
        <w:rPr>
          <w:i/>
          <w:iCs/>
        </w:rPr>
        <w:t>dobitnie pokazuj</w:t>
      </w:r>
      <w:r w:rsidR="008A23E0">
        <w:rPr>
          <w:i/>
          <w:iCs/>
        </w:rPr>
        <w:t>e</w:t>
      </w:r>
      <w:r w:rsidR="00C216A5" w:rsidRPr="00881A29">
        <w:rPr>
          <w:i/>
          <w:iCs/>
        </w:rPr>
        <w:t xml:space="preserve"> jak ważne jest szukanie nie tylko alternatywnych źródeł energii, ale również zwrócenie </w:t>
      </w:r>
      <w:r w:rsidR="001C5F73" w:rsidRPr="00881A29">
        <w:rPr>
          <w:i/>
          <w:iCs/>
        </w:rPr>
        <w:t>uwag</w:t>
      </w:r>
      <w:r w:rsidR="001C5F73">
        <w:rPr>
          <w:i/>
          <w:iCs/>
        </w:rPr>
        <w:t>i</w:t>
      </w:r>
      <w:r w:rsidR="001C5F73" w:rsidRPr="00881A29">
        <w:rPr>
          <w:i/>
          <w:iCs/>
        </w:rPr>
        <w:t xml:space="preserve"> </w:t>
      </w:r>
      <w:r w:rsidR="00C216A5" w:rsidRPr="00881A29">
        <w:rPr>
          <w:i/>
          <w:iCs/>
        </w:rPr>
        <w:t>na efektywność energetyczną stosowanych rozwiązań. Technologia</w:t>
      </w:r>
      <w:r w:rsidR="00E6193F" w:rsidRPr="00881A29">
        <w:rPr>
          <w:i/>
          <w:iCs/>
        </w:rPr>
        <w:t xml:space="preserve"> Turbo Green Electric pozwala naszym potencjalnym klientom na znacznie większe </w:t>
      </w:r>
      <w:r w:rsidR="00785C12" w:rsidRPr="00881A29">
        <w:rPr>
          <w:i/>
          <w:iCs/>
        </w:rPr>
        <w:t>oszczędności w zużyciu energii na potrzeby produkcji biomasy. Dodatkowo</w:t>
      </w:r>
      <w:r w:rsidR="005F6F32">
        <w:rPr>
          <w:i/>
          <w:iCs/>
        </w:rPr>
        <w:t>,</w:t>
      </w:r>
      <w:r w:rsidR="00785C12" w:rsidRPr="00881A29">
        <w:rPr>
          <w:i/>
          <w:iCs/>
        </w:rPr>
        <w:t xml:space="preserve"> biogaz</w:t>
      </w:r>
      <w:r w:rsidR="00953B93" w:rsidRPr="00881A29">
        <w:rPr>
          <w:i/>
          <w:iCs/>
        </w:rPr>
        <w:t>, który powstaje w wyniku tego procesu</w:t>
      </w:r>
      <w:r w:rsidR="005F6F32">
        <w:rPr>
          <w:i/>
          <w:iCs/>
        </w:rPr>
        <w:t>,</w:t>
      </w:r>
      <w:r w:rsidR="00953B93" w:rsidRPr="00881A29">
        <w:rPr>
          <w:i/>
          <w:iCs/>
        </w:rPr>
        <w:t xml:space="preserve"> </w:t>
      </w:r>
      <w:r w:rsidR="00CD4C19" w:rsidRPr="00881A29">
        <w:rPr>
          <w:i/>
          <w:iCs/>
        </w:rPr>
        <w:t>posiada znacznie lepsze właściwości, niż ten powstający w obecnych biogazowniach</w:t>
      </w:r>
      <w:r w:rsidR="00B27E25">
        <w:t xml:space="preserve"> </w:t>
      </w:r>
      <w:r w:rsidR="005F6F32">
        <w:t>-</w:t>
      </w:r>
      <w:r w:rsidR="00B27E25">
        <w:t xml:space="preserve"> podkreśla Manfred </w:t>
      </w:r>
      <w:r w:rsidR="005F6F32" w:rsidRPr="005F6F32">
        <w:t>Schatovich</w:t>
      </w:r>
      <w:r w:rsidR="00B27E25">
        <w:t xml:space="preserve">, przewodniczący rady nadzorczej Global Hydrogen. </w:t>
      </w:r>
      <w:r w:rsidR="00784ECF" w:rsidRPr="00784ECF">
        <w:t xml:space="preserve">Dodaje, że firma widzi bardzo duży potencjał rynkowy rozwiązań stosowanych w biogazowniach.  </w:t>
      </w:r>
      <w:r w:rsidR="00784ECF">
        <w:t>Z raportu „Biogaz w Polsce</w:t>
      </w:r>
      <w:r w:rsidR="001074BA">
        <w:t xml:space="preserve"> – raport 2022”</w:t>
      </w:r>
      <w:r w:rsidR="005F6F32">
        <w:t xml:space="preserve">, </w:t>
      </w:r>
      <w:r w:rsidR="001074BA">
        <w:t xml:space="preserve">przygotowanego m.in. przez ekspertów NCBiR, PFR oraz Uniwersytetu Przyrodniczego </w:t>
      </w:r>
      <w:r w:rsidR="00247BB9">
        <w:t xml:space="preserve">w Poznaniu wynika, że w Polsce działa obecnie </w:t>
      </w:r>
      <w:r w:rsidR="00831F58">
        <w:t xml:space="preserve">około 130 biogazowni rolniczych z zainstalowaną mocą elektryczną na poziomie </w:t>
      </w:r>
      <w:r w:rsidR="00784ECF" w:rsidRPr="00784ECF">
        <w:t>125 MW</w:t>
      </w:r>
      <w:r w:rsidR="00831F58">
        <w:t>. Dla porównani</w:t>
      </w:r>
      <w:r w:rsidR="005F6F32">
        <w:t>a,</w:t>
      </w:r>
      <w:r w:rsidR="00831F58">
        <w:t xml:space="preserve"> w Niemczech działa ok. </w:t>
      </w:r>
      <w:r w:rsidR="00784ECF" w:rsidRPr="00784ECF">
        <w:t>9000 biogazowni z zainstalowaną mocą ok. 6000 MW - wskazano w raporcie. Polska ma o ok. 1,5 mln ha większą od Niemiec powierzchnię wykorzystywaną rolniczo, jak też bardzo rozwinięty sektor przetwórstwa rolno-spożywczego produkującego ogromną ilość bioodpadów</w:t>
      </w:r>
      <w:r w:rsidR="00B20452">
        <w:t xml:space="preserve"> </w:t>
      </w:r>
      <w:r w:rsidR="005F6F32">
        <w:t>-</w:t>
      </w:r>
      <w:r w:rsidR="00B20452">
        <w:t xml:space="preserve"> </w:t>
      </w:r>
      <w:r w:rsidR="008A23E0">
        <w:t>podkreślają</w:t>
      </w:r>
      <w:r w:rsidR="00B20452">
        <w:t xml:space="preserve"> autorzy raportu.</w:t>
      </w:r>
    </w:p>
    <w:p w14:paraId="7F4FA57B" w14:textId="13C144B6" w:rsidR="00527A29" w:rsidRDefault="008507FC" w:rsidP="005F6F32">
      <w:pPr>
        <w:spacing w:line="276" w:lineRule="auto"/>
        <w:jc w:val="both"/>
      </w:pPr>
      <w:r>
        <w:t xml:space="preserve">Dzięki przejęciu Turbo Green Electric, Global Hydrogen jednocześnie pozyskuje zespół, który będzie w stanie samodzielnie realizować wdrożenia </w:t>
      </w:r>
      <w:r w:rsidR="003D23A6">
        <w:t>technologii i jej uruchamianie w biogazowniach.</w:t>
      </w:r>
      <w:r w:rsidR="005F6F32">
        <w:t xml:space="preserve"> - </w:t>
      </w:r>
      <w:r w:rsidR="003D23A6" w:rsidRPr="008F0399">
        <w:rPr>
          <w:i/>
          <w:iCs/>
        </w:rPr>
        <w:t>Transakcja z Turbo Green Electric bardzo dobrze uzupełnia nasze kompetencje</w:t>
      </w:r>
      <w:r w:rsidR="008F0399">
        <w:rPr>
          <w:i/>
          <w:iCs/>
        </w:rPr>
        <w:t xml:space="preserve"> o zespół technologiczno – wykonawczy</w:t>
      </w:r>
      <w:r w:rsidR="003D23A6" w:rsidRPr="008F0399">
        <w:rPr>
          <w:i/>
          <w:iCs/>
        </w:rPr>
        <w:t xml:space="preserve"> i pozwala na szyb</w:t>
      </w:r>
      <w:r w:rsidR="005A4632">
        <w:rPr>
          <w:i/>
          <w:iCs/>
        </w:rPr>
        <w:t>kie przejście do komercyjnych wdrożeń</w:t>
      </w:r>
      <w:r w:rsidR="003D23A6" w:rsidRPr="008F0399">
        <w:rPr>
          <w:i/>
          <w:iCs/>
        </w:rPr>
        <w:t>.</w:t>
      </w:r>
      <w:r w:rsidR="00881A29">
        <w:rPr>
          <w:i/>
          <w:iCs/>
        </w:rPr>
        <w:t xml:space="preserve"> Jednocześnie dobrze uzupełnia się z naszym</w:t>
      </w:r>
      <w:r w:rsidR="005F6F32">
        <w:rPr>
          <w:i/>
          <w:iCs/>
        </w:rPr>
        <w:t>i</w:t>
      </w:r>
      <w:r w:rsidR="00881A29">
        <w:rPr>
          <w:i/>
          <w:iCs/>
        </w:rPr>
        <w:t xml:space="preserve"> dotychczasowymi aktywnościami w zakresie </w:t>
      </w:r>
      <w:r w:rsidR="00827D30">
        <w:rPr>
          <w:i/>
          <w:iCs/>
        </w:rPr>
        <w:t xml:space="preserve">rozwoju technologii czystego gazu syntezowego. W tym zakresie będziemy kontynuować prace z mPower Green Tech </w:t>
      </w:r>
      <w:r w:rsidR="005F6930">
        <w:rPr>
          <w:i/>
          <w:iCs/>
        </w:rPr>
        <w:t xml:space="preserve">na podstawie umowy licencyjnej </w:t>
      </w:r>
      <w:r w:rsidR="005F6F32" w:rsidRPr="005F6F32">
        <w:t>-</w:t>
      </w:r>
      <w:r w:rsidR="005F6930">
        <w:rPr>
          <w:i/>
          <w:iCs/>
        </w:rPr>
        <w:t xml:space="preserve"> </w:t>
      </w:r>
      <w:r w:rsidR="005F6930" w:rsidRPr="005F6930">
        <w:t xml:space="preserve">zaznacza Manfred </w:t>
      </w:r>
      <w:r w:rsidR="008875CD" w:rsidRPr="008875CD">
        <w:t>Schatovich</w:t>
      </w:r>
      <w:r w:rsidR="008875CD">
        <w:t>.</w:t>
      </w:r>
    </w:p>
    <w:p w14:paraId="12977192" w14:textId="6A18249F" w:rsidR="00C00FEA" w:rsidRPr="00292365" w:rsidRDefault="005F6930" w:rsidP="005F6F32">
      <w:pPr>
        <w:spacing w:line="276" w:lineRule="auto"/>
        <w:jc w:val="both"/>
        <w:rPr>
          <w:rFonts w:cstheme="minorHAnsi"/>
        </w:rPr>
      </w:pPr>
      <w:r w:rsidRPr="00292365">
        <w:rPr>
          <w:rFonts w:eastAsia="Calibri" w:cstheme="minorHAnsi"/>
        </w:rPr>
        <w:t xml:space="preserve">Współpraca z mPower Green Tech dotyczy </w:t>
      </w:r>
      <w:r w:rsidR="001D1214" w:rsidRPr="00292365">
        <w:rPr>
          <w:rFonts w:cstheme="minorHAnsi"/>
        </w:rPr>
        <w:t xml:space="preserve">wspólnego rozwoju </w:t>
      </w:r>
      <w:r w:rsidR="0025494A" w:rsidRPr="00292365">
        <w:rPr>
          <w:rFonts w:cstheme="minorHAnsi"/>
        </w:rPr>
        <w:t>technologii termicznego przekształcania biomasy w gaz syntezowy i  sposobu katalityczno-plazmowej konwersji do czystego gazu syntezowego.</w:t>
      </w:r>
      <w:r w:rsidR="00724C1B" w:rsidRPr="00292365">
        <w:rPr>
          <w:rFonts w:cstheme="minorHAnsi"/>
        </w:rPr>
        <w:t xml:space="preserve"> </w:t>
      </w:r>
      <w:r w:rsidR="008D1405" w:rsidRPr="00292365">
        <w:rPr>
          <w:rFonts w:cstheme="minorHAnsi"/>
        </w:rPr>
        <w:t xml:space="preserve">Technologia, która oparta jest o reaktor SynGen oraz </w:t>
      </w:r>
      <w:r w:rsidR="008875CD">
        <w:rPr>
          <w:rFonts w:cstheme="minorHAnsi"/>
        </w:rPr>
        <w:t>p</w:t>
      </w:r>
      <w:r w:rsidR="008D1405" w:rsidRPr="00292365">
        <w:rPr>
          <w:rFonts w:cstheme="minorHAnsi"/>
        </w:rPr>
        <w:t xml:space="preserve">iro-zgazowarkę, umożliwia </w:t>
      </w:r>
      <w:r w:rsidR="008D1405" w:rsidRPr="00292365">
        <w:rPr>
          <w:rFonts w:cstheme="minorHAnsi"/>
        </w:rPr>
        <w:lastRenderedPageBreak/>
        <w:t>stworzenie instalacji przetwarzania biomasy w czysty gaz syntezowy, co z kolei umożliwia produkcję wodoru.</w:t>
      </w:r>
      <w:r w:rsidR="00724C1B" w:rsidRPr="00292365">
        <w:rPr>
          <w:rFonts w:cstheme="minorHAnsi"/>
        </w:rPr>
        <w:t xml:space="preserve"> </w:t>
      </w:r>
    </w:p>
    <w:p w14:paraId="4B469A5C" w14:textId="7875B7A1" w:rsidR="00324219" w:rsidRDefault="00724C1B" w:rsidP="005F6F32">
      <w:pPr>
        <w:spacing w:line="276" w:lineRule="auto"/>
        <w:jc w:val="both"/>
      </w:pPr>
      <w:r>
        <w:t xml:space="preserve">Jednocześnie władze Global Hydrogen zadecydowały, że </w:t>
      </w:r>
      <w:r w:rsidR="00087EBA">
        <w:t xml:space="preserve">bardziej efektywnym modelem będzie współpraca operacyjna i technologiczna. </w:t>
      </w:r>
      <w:r w:rsidR="00F75DFD">
        <w:t xml:space="preserve">Wcześniej </w:t>
      </w:r>
      <w:r w:rsidR="00F56F76">
        <w:t>miało dojść do przejęcia mPower Green Tech przez Global Hydrogen za kwotę 1</w:t>
      </w:r>
      <w:r w:rsidR="00FF0F33">
        <w:t>9</w:t>
      </w:r>
      <w:r w:rsidR="00F56F76">
        <w:t xml:space="preserve"> mln złotych.</w:t>
      </w:r>
    </w:p>
    <w:p w14:paraId="78A5D265" w14:textId="116C3CCA" w:rsidR="000D7225" w:rsidRDefault="000D7225" w:rsidP="000D7225">
      <w:pPr>
        <w:spacing w:line="276" w:lineRule="auto"/>
        <w:jc w:val="center"/>
      </w:pPr>
      <w:r w:rsidRPr="0098181D">
        <w:t>***</w:t>
      </w:r>
    </w:p>
    <w:p w14:paraId="0C8560AF" w14:textId="1C645CA6" w:rsidR="000D7225" w:rsidRDefault="000D7225" w:rsidP="000D7225">
      <w:pPr>
        <w:spacing w:line="276" w:lineRule="auto"/>
        <w:rPr>
          <w:b/>
          <w:sz w:val="20"/>
          <w:szCs w:val="20"/>
        </w:rPr>
      </w:pPr>
      <w:r w:rsidRPr="0098181D">
        <w:rPr>
          <w:b/>
          <w:sz w:val="20"/>
          <w:szCs w:val="20"/>
        </w:rPr>
        <w:t xml:space="preserve">O spółce: </w:t>
      </w:r>
    </w:p>
    <w:p w14:paraId="51431FD9" w14:textId="51DC73D7" w:rsidR="00084C3B" w:rsidRPr="000D6245" w:rsidRDefault="00084C3B" w:rsidP="000D6245">
      <w:pPr>
        <w:spacing w:line="276" w:lineRule="auto"/>
        <w:jc w:val="both"/>
        <w:rPr>
          <w:rFonts w:cstheme="minorHAnsi"/>
          <w:sz w:val="20"/>
          <w:szCs w:val="20"/>
        </w:rPr>
      </w:pPr>
      <w:r w:rsidRPr="000D6245">
        <w:rPr>
          <w:rFonts w:cstheme="minorHAnsi"/>
          <w:sz w:val="20"/>
          <w:szCs w:val="20"/>
        </w:rPr>
        <w:t>Global Hydrogen SA zajmuje się technologią produkcji zielonego</w:t>
      </w:r>
      <w:r w:rsidR="00022D7B" w:rsidRPr="000D6245">
        <w:rPr>
          <w:rFonts w:cstheme="minorHAnsi"/>
          <w:sz w:val="20"/>
          <w:szCs w:val="20"/>
        </w:rPr>
        <w:t xml:space="preserve"> energii:</w:t>
      </w:r>
      <w:r w:rsidRPr="000D6245">
        <w:rPr>
          <w:rFonts w:cstheme="minorHAnsi"/>
          <w:sz w:val="20"/>
          <w:szCs w:val="20"/>
        </w:rPr>
        <w:t xml:space="preserve"> wodoru z biomasy, również odpadowej, w mobilnych, kontenerowych reaktorach</w:t>
      </w:r>
      <w:r w:rsidR="00022D7B" w:rsidRPr="000D6245">
        <w:rPr>
          <w:rFonts w:cstheme="minorHAnsi"/>
          <w:sz w:val="20"/>
          <w:szCs w:val="20"/>
        </w:rPr>
        <w:t xml:space="preserve">, a także biogazu z wykorzystaniem technologii SMBP. </w:t>
      </w:r>
      <w:r w:rsidR="00831121" w:rsidRPr="000D6245">
        <w:rPr>
          <w:rFonts w:cstheme="minorHAnsi"/>
          <w:sz w:val="20"/>
          <w:szCs w:val="20"/>
        </w:rPr>
        <w:t>Spółka pracuje nad rozwiązaniami technologicznym jak i jednocześnie realizuje ich wdrożenie u klienta.</w:t>
      </w:r>
      <w:r w:rsidRPr="000D6245">
        <w:rPr>
          <w:rFonts w:cstheme="minorHAnsi"/>
          <w:sz w:val="20"/>
          <w:szCs w:val="20"/>
        </w:rPr>
        <w:t xml:space="preserve"> </w:t>
      </w:r>
      <w:r w:rsidR="000D6245" w:rsidRPr="000D6245">
        <w:rPr>
          <w:rFonts w:cstheme="minorHAnsi"/>
          <w:sz w:val="20"/>
          <w:szCs w:val="20"/>
        </w:rPr>
        <w:t>Głównym aktywem spółki jest forma Turbo Green Electric. Spółka ta posiada umowę licencji wyłącznej na opatentowane rozwiązania biogazowni w technologii SMBP tj. reaktor fermentacji beztlenowej oraz proces mieszania w komorze bioreaktora bez konsumpcji energii zewnętrznej. Technologia ta została wypracowana przez polski zespół naukowo-technologiczny. Na wskazaną technologię został udzielony patent na wynalazek „Sposób mieszania cieczy fermentacyjnej w komorze fermentacyjnej oraz komora fermentacyjna”. Na podstawie zawartej umowy licencji Turbo Green Electric spółka akcyjna pozyskała wyłączną, nieograniczoną terytorialnie, pełną licencję do korzystania z wynalazku.</w:t>
      </w:r>
    </w:p>
    <w:p w14:paraId="04B001D8" w14:textId="692687B6" w:rsidR="000D7225" w:rsidRPr="00A10D8A" w:rsidRDefault="00A10D8A" w:rsidP="00D07081">
      <w:pPr>
        <w:spacing w:after="120" w:line="240" w:lineRule="auto"/>
        <w:rPr>
          <w:sz w:val="20"/>
          <w:szCs w:val="20"/>
        </w:rPr>
      </w:pPr>
      <w:r w:rsidRPr="00A10D8A">
        <w:rPr>
          <w:b/>
          <w:bCs/>
          <w:sz w:val="20"/>
          <w:szCs w:val="20"/>
        </w:rPr>
        <w:t>Wi</w:t>
      </w:r>
      <w:r w:rsidR="00A44006">
        <w:rPr>
          <w:b/>
          <w:bCs/>
          <w:sz w:val="20"/>
          <w:szCs w:val="20"/>
        </w:rPr>
        <w:t xml:space="preserve">ęcej na </w:t>
      </w:r>
      <w:proofErr w:type="spellStart"/>
      <w:r w:rsidR="00A44006">
        <w:rPr>
          <w:b/>
          <w:bCs/>
          <w:sz w:val="20"/>
          <w:szCs w:val="20"/>
        </w:rPr>
        <w:t>na</w:t>
      </w:r>
      <w:proofErr w:type="spellEnd"/>
      <w:r w:rsidR="00A44006">
        <w:rPr>
          <w:b/>
          <w:bCs/>
          <w:sz w:val="20"/>
          <w:szCs w:val="20"/>
        </w:rPr>
        <w:t xml:space="preserve">: </w:t>
      </w:r>
      <w:hyperlink r:id="rId7" w:history="1">
        <w:r w:rsidR="00A44006" w:rsidRPr="00E97CC2">
          <w:rPr>
            <w:rStyle w:val="Hipercze"/>
            <w:b/>
            <w:bCs/>
            <w:sz w:val="20"/>
            <w:szCs w:val="20"/>
          </w:rPr>
          <w:t>www.globalhydrogen.pl</w:t>
        </w:r>
      </w:hyperlink>
      <w:r w:rsidR="00A44006">
        <w:rPr>
          <w:b/>
          <w:bCs/>
          <w:sz w:val="20"/>
          <w:szCs w:val="20"/>
        </w:rPr>
        <w:t xml:space="preserve"> </w:t>
      </w:r>
    </w:p>
    <w:p w14:paraId="6690071A" w14:textId="7F9C8864" w:rsidR="00F25CA7" w:rsidRPr="00C13BF9" w:rsidRDefault="00F25CA7"/>
    <w:sectPr w:rsidR="00F25CA7" w:rsidRPr="00C13B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3217" w14:textId="77777777" w:rsidR="00700E6B" w:rsidRDefault="00700E6B" w:rsidP="005555DE">
      <w:pPr>
        <w:spacing w:after="0" w:line="240" w:lineRule="auto"/>
      </w:pPr>
      <w:r>
        <w:separator/>
      </w:r>
    </w:p>
  </w:endnote>
  <w:endnote w:type="continuationSeparator" w:id="0">
    <w:p w14:paraId="41739AE7" w14:textId="77777777" w:rsidR="00700E6B" w:rsidRDefault="00700E6B" w:rsidP="0055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EC1D" w14:textId="77777777" w:rsidR="00700E6B" w:rsidRDefault="00700E6B" w:rsidP="005555DE">
      <w:pPr>
        <w:spacing w:after="0" w:line="240" w:lineRule="auto"/>
      </w:pPr>
      <w:r>
        <w:separator/>
      </w:r>
    </w:p>
  </w:footnote>
  <w:footnote w:type="continuationSeparator" w:id="0">
    <w:p w14:paraId="6322B704" w14:textId="77777777" w:rsidR="00700E6B" w:rsidRDefault="00700E6B" w:rsidP="0055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43C6" w14:textId="34EA3E78" w:rsidR="005555DE" w:rsidRDefault="00C13BF9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0" w:name="_Hlk87447327"/>
    <w:bookmarkStart w:id="1" w:name="_Hlk87447328"/>
    <w:r w:rsidRPr="00045F69">
      <w:rPr>
        <w:noProof/>
      </w:rPr>
      <w:drawing>
        <wp:anchor distT="0" distB="0" distL="114300" distR="114300" simplePos="0" relativeHeight="251659264" behindDoc="0" locked="0" layoutInCell="1" allowOverlap="1" wp14:anchorId="70B34AC7" wp14:editId="3BE0BC9B">
          <wp:simplePos x="0" y="0"/>
          <wp:positionH relativeFrom="margin">
            <wp:posOffset>4032885</wp:posOffset>
          </wp:positionH>
          <wp:positionV relativeFrom="paragraph">
            <wp:posOffset>-106045</wp:posOffset>
          </wp:positionV>
          <wp:extent cx="1689735" cy="570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627CAB" wp14:editId="7F7A2943">
          <wp:simplePos x="0" y="0"/>
          <wp:positionH relativeFrom="margin">
            <wp:posOffset>-38100</wp:posOffset>
          </wp:positionH>
          <wp:positionV relativeFrom="paragraph">
            <wp:posOffset>-148590</wp:posOffset>
          </wp:positionV>
          <wp:extent cx="1788795" cy="74295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bookmarkEnd w:id="1"/>
  <w:p w14:paraId="0B8EAE68" w14:textId="7BC5943C" w:rsidR="00F025BF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5D4B46F" w14:textId="2C1B033B" w:rsidR="00F025BF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357C068" w14:textId="77777777" w:rsidR="00F025BF" w:rsidRPr="005555DE" w:rsidRDefault="00F025BF" w:rsidP="005555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A7"/>
    <w:rsid w:val="0001010B"/>
    <w:rsid w:val="00022D7B"/>
    <w:rsid w:val="00033C53"/>
    <w:rsid w:val="00034397"/>
    <w:rsid w:val="00041811"/>
    <w:rsid w:val="000470AB"/>
    <w:rsid w:val="00064A16"/>
    <w:rsid w:val="00084C3B"/>
    <w:rsid w:val="00087EBA"/>
    <w:rsid w:val="00090045"/>
    <w:rsid w:val="00092F58"/>
    <w:rsid w:val="00093C46"/>
    <w:rsid w:val="000D6245"/>
    <w:rsid w:val="000D7225"/>
    <w:rsid w:val="000E1C49"/>
    <w:rsid w:val="000E4468"/>
    <w:rsid w:val="000F60BD"/>
    <w:rsid w:val="00103460"/>
    <w:rsid w:val="001074BA"/>
    <w:rsid w:val="0011260F"/>
    <w:rsid w:val="00114875"/>
    <w:rsid w:val="00114EF5"/>
    <w:rsid w:val="0012120F"/>
    <w:rsid w:val="001251FE"/>
    <w:rsid w:val="00135FC0"/>
    <w:rsid w:val="00140565"/>
    <w:rsid w:val="00142C19"/>
    <w:rsid w:val="00151A77"/>
    <w:rsid w:val="00164DFC"/>
    <w:rsid w:val="00167AA7"/>
    <w:rsid w:val="00176B41"/>
    <w:rsid w:val="001B3C56"/>
    <w:rsid w:val="001B5C2C"/>
    <w:rsid w:val="001C5F73"/>
    <w:rsid w:val="001C7BF6"/>
    <w:rsid w:val="001D1214"/>
    <w:rsid w:val="001E7A12"/>
    <w:rsid w:val="00200140"/>
    <w:rsid w:val="00201239"/>
    <w:rsid w:val="002117AB"/>
    <w:rsid w:val="0021322B"/>
    <w:rsid w:val="00213643"/>
    <w:rsid w:val="00221D7F"/>
    <w:rsid w:val="00233BF9"/>
    <w:rsid w:val="00247BB9"/>
    <w:rsid w:val="0025494A"/>
    <w:rsid w:val="00275E01"/>
    <w:rsid w:val="00277DED"/>
    <w:rsid w:val="00283FB0"/>
    <w:rsid w:val="00292365"/>
    <w:rsid w:val="002A05E0"/>
    <w:rsid w:val="002A40BE"/>
    <w:rsid w:val="002C0FF3"/>
    <w:rsid w:val="002D7FCC"/>
    <w:rsid w:val="0031084D"/>
    <w:rsid w:val="003108F6"/>
    <w:rsid w:val="00324219"/>
    <w:rsid w:val="00331A7D"/>
    <w:rsid w:val="003334CA"/>
    <w:rsid w:val="00340D0C"/>
    <w:rsid w:val="00343DEA"/>
    <w:rsid w:val="003464B1"/>
    <w:rsid w:val="0035659C"/>
    <w:rsid w:val="00365D12"/>
    <w:rsid w:val="003750B5"/>
    <w:rsid w:val="003805AC"/>
    <w:rsid w:val="00387AFF"/>
    <w:rsid w:val="00391C6C"/>
    <w:rsid w:val="00394DEF"/>
    <w:rsid w:val="0039732A"/>
    <w:rsid w:val="003C0835"/>
    <w:rsid w:val="003C3A1E"/>
    <w:rsid w:val="003D23A6"/>
    <w:rsid w:val="003D6FA4"/>
    <w:rsid w:val="003E0F87"/>
    <w:rsid w:val="00405732"/>
    <w:rsid w:val="0042083B"/>
    <w:rsid w:val="00423AA3"/>
    <w:rsid w:val="004428D9"/>
    <w:rsid w:val="00464A04"/>
    <w:rsid w:val="00480155"/>
    <w:rsid w:val="00480347"/>
    <w:rsid w:val="00483156"/>
    <w:rsid w:val="004A496A"/>
    <w:rsid w:val="004A5F86"/>
    <w:rsid w:val="004A7DBB"/>
    <w:rsid w:val="004B36E7"/>
    <w:rsid w:val="004B74F8"/>
    <w:rsid w:val="004B79BE"/>
    <w:rsid w:val="004D79E6"/>
    <w:rsid w:val="004E4898"/>
    <w:rsid w:val="004E5842"/>
    <w:rsid w:val="00504B50"/>
    <w:rsid w:val="005064A2"/>
    <w:rsid w:val="00514A2C"/>
    <w:rsid w:val="00523BB1"/>
    <w:rsid w:val="00527A29"/>
    <w:rsid w:val="00537CF7"/>
    <w:rsid w:val="00545A31"/>
    <w:rsid w:val="00554DE9"/>
    <w:rsid w:val="005555DE"/>
    <w:rsid w:val="00557444"/>
    <w:rsid w:val="00565E40"/>
    <w:rsid w:val="0058202F"/>
    <w:rsid w:val="00591D70"/>
    <w:rsid w:val="005938FB"/>
    <w:rsid w:val="005A4632"/>
    <w:rsid w:val="005A5DBB"/>
    <w:rsid w:val="005B60DD"/>
    <w:rsid w:val="005C2AEE"/>
    <w:rsid w:val="005C3D83"/>
    <w:rsid w:val="005D3FB1"/>
    <w:rsid w:val="005D41D9"/>
    <w:rsid w:val="005D6C6F"/>
    <w:rsid w:val="005F4A5D"/>
    <w:rsid w:val="005F6930"/>
    <w:rsid w:val="005F6F32"/>
    <w:rsid w:val="006038A0"/>
    <w:rsid w:val="006048C5"/>
    <w:rsid w:val="00612F60"/>
    <w:rsid w:val="00616615"/>
    <w:rsid w:val="00616F9F"/>
    <w:rsid w:val="00641CEE"/>
    <w:rsid w:val="006428CE"/>
    <w:rsid w:val="00647724"/>
    <w:rsid w:val="00661960"/>
    <w:rsid w:val="00693524"/>
    <w:rsid w:val="006A427C"/>
    <w:rsid w:val="006A4C28"/>
    <w:rsid w:val="006C2B38"/>
    <w:rsid w:val="006C68A3"/>
    <w:rsid w:val="006E5CED"/>
    <w:rsid w:val="006F3981"/>
    <w:rsid w:val="006F4869"/>
    <w:rsid w:val="00700E6B"/>
    <w:rsid w:val="00703C99"/>
    <w:rsid w:val="00710743"/>
    <w:rsid w:val="00711762"/>
    <w:rsid w:val="00714E64"/>
    <w:rsid w:val="007205C4"/>
    <w:rsid w:val="00724C1B"/>
    <w:rsid w:val="0072664C"/>
    <w:rsid w:val="00733564"/>
    <w:rsid w:val="00780182"/>
    <w:rsid w:val="00780F26"/>
    <w:rsid w:val="0078330B"/>
    <w:rsid w:val="00784ECF"/>
    <w:rsid w:val="00785C12"/>
    <w:rsid w:val="00795350"/>
    <w:rsid w:val="00796A79"/>
    <w:rsid w:val="00797324"/>
    <w:rsid w:val="007A7FD5"/>
    <w:rsid w:val="007B2FA2"/>
    <w:rsid w:val="007C3439"/>
    <w:rsid w:val="007D2060"/>
    <w:rsid w:val="007D4164"/>
    <w:rsid w:val="007E312E"/>
    <w:rsid w:val="007E3A6B"/>
    <w:rsid w:val="007F5E14"/>
    <w:rsid w:val="008137B9"/>
    <w:rsid w:val="0081647D"/>
    <w:rsid w:val="00827D30"/>
    <w:rsid w:val="00831121"/>
    <w:rsid w:val="00831F58"/>
    <w:rsid w:val="00841445"/>
    <w:rsid w:val="00846E54"/>
    <w:rsid w:val="008507FC"/>
    <w:rsid w:val="00875ADA"/>
    <w:rsid w:val="00881A29"/>
    <w:rsid w:val="00884814"/>
    <w:rsid w:val="008875CD"/>
    <w:rsid w:val="00891EAA"/>
    <w:rsid w:val="008958D2"/>
    <w:rsid w:val="008A23E0"/>
    <w:rsid w:val="008A4A05"/>
    <w:rsid w:val="008B4EA0"/>
    <w:rsid w:val="008B5F9B"/>
    <w:rsid w:val="008B74E1"/>
    <w:rsid w:val="008D1405"/>
    <w:rsid w:val="008E4DED"/>
    <w:rsid w:val="008F0399"/>
    <w:rsid w:val="008F27DC"/>
    <w:rsid w:val="008F30E7"/>
    <w:rsid w:val="008F4849"/>
    <w:rsid w:val="009050AF"/>
    <w:rsid w:val="00934F85"/>
    <w:rsid w:val="00937030"/>
    <w:rsid w:val="00953B93"/>
    <w:rsid w:val="00961872"/>
    <w:rsid w:val="009962B0"/>
    <w:rsid w:val="0099736C"/>
    <w:rsid w:val="009A3D96"/>
    <w:rsid w:val="009B1007"/>
    <w:rsid w:val="009B5671"/>
    <w:rsid w:val="009C0D40"/>
    <w:rsid w:val="009C6385"/>
    <w:rsid w:val="009D0671"/>
    <w:rsid w:val="009D27F4"/>
    <w:rsid w:val="009E2E0D"/>
    <w:rsid w:val="009E5EF7"/>
    <w:rsid w:val="009F116A"/>
    <w:rsid w:val="009F2779"/>
    <w:rsid w:val="00A10470"/>
    <w:rsid w:val="00A10D8A"/>
    <w:rsid w:val="00A17AF2"/>
    <w:rsid w:val="00A21664"/>
    <w:rsid w:val="00A307E4"/>
    <w:rsid w:val="00A332C3"/>
    <w:rsid w:val="00A37B9F"/>
    <w:rsid w:val="00A424CD"/>
    <w:rsid w:val="00A44006"/>
    <w:rsid w:val="00A50283"/>
    <w:rsid w:val="00A51274"/>
    <w:rsid w:val="00A619A7"/>
    <w:rsid w:val="00A66394"/>
    <w:rsid w:val="00A751AD"/>
    <w:rsid w:val="00A84BEB"/>
    <w:rsid w:val="00A857D0"/>
    <w:rsid w:val="00A97C55"/>
    <w:rsid w:val="00A97E6D"/>
    <w:rsid w:val="00AA2748"/>
    <w:rsid w:val="00AB0E93"/>
    <w:rsid w:val="00AB6BDE"/>
    <w:rsid w:val="00AC4F20"/>
    <w:rsid w:val="00AD1340"/>
    <w:rsid w:val="00AD35DB"/>
    <w:rsid w:val="00AE2A1B"/>
    <w:rsid w:val="00AE4D25"/>
    <w:rsid w:val="00AE588F"/>
    <w:rsid w:val="00B20452"/>
    <w:rsid w:val="00B22676"/>
    <w:rsid w:val="00B2440E"/>
    <w:rsid w:val="00B27E25"/>
    <w:rsid w:val="00B50B7B"/>
    <w:rsid w:val="00B7222F"/>
    <w:rsid w:val="00B8382F"/>
    <w:rsid w:val="00B87ECA"/>
    <w:rsid w:val="00B97047"/>
    <w:rsid w:val="00BB3113"/>
    <w:rsid w:val="00BB352D"/>
    <w:rsid w:val="00BC5494"/>
    <w:rsid w:val="00BD32C5"/>
    <w:rsid w:val="00BD43B1"/>
    <w:rsid w:val="00BF5C12"/>
    <w:rsid w:val="00BF794C"/>
    <w:rsid w:val="00C00FEA"/>
    <w:rsid w:val="00C07ABA"/>
    <w:rsid w:val="00C10C1C"/>
    <w:rsid w:val="00C13BF9"/>
    <w:rsid w:val="00C216A5"/>
    <w:rsid w:val="00C332D6"/>
    <w:rsid w:val="00C4605B"/>
    <w:rsid w:val="00C52A9F"/>
    <w:rsid w:val="00C57C9E"/>
    <w:rsid w:val="00CA0DB0"/>
    <w:rsid w:val="00CA14FB"/>
    <w:rsid w:val="00CB7DBA"/>
    <w:rsid w:val="00CC1774"/>
    <w:rsid w:val="00CC515F"/>
    <w:rsid w:val="00CD4045"/>
    <w:rsid w:val="00CD4C19"/>
    <w:rsid w:val="00CE6DFA"/>
    <w:rsid w:val="00D00D21"/>
    <w:rsid w:val="00D07081"/>
    <w:rsid w:val="00D127D7"/>
    <w:rsid w:val="00D1742B"/>
    <w:rsid w:val="00D43813"/>
    <w:rsid w:val="00D618E8"/>
    <w:rsid w:val="00D809A4"/>
    <w:rsid w:val="00D87E1D"/>
    <w:rsid w:val="00D96CF5"/>
    <w:rsid w:val="00D97D54"/>
    <w:rsid w:val="00DB49A9"/>
    <w:rsid w:val="00DC088E"/>
    <w:rsid w:val="00DC0ADA"/>
    <w:rsid w:val="00DD2C57"/>
    <w:rsid w:val="00DD36AD"/>
    <w:rsid w:val="00DD5786"/>
    <w:rsid w:val="00DD69E9"/>
    <w:rsid w:val="00DF12D5"/>
    <w:rsid w:val="00DF4C28"/>
    <w:rsid w:val="00E12302"/>
    <w:rsid w:val="00E17ADD"/>
    <w:rsid w:val="00E256BD"/>
    <w:rsid w:val="00E36D63"/>
    <w:rsid w:val="00E379B7"/>
    <w:rsid w:val="00E40BD0"/>
    <w:rsid w:val="00E46969"/>
    <w:rsid w:val="00E6193F"/>
    <w:rsid w:val="00E8355D"/>
    <w:rsid w:val="00E87007"/>
    <w:rsid w:val="00E87CCC"/>
    <w:rsid w:val="00E91E2D"/>
    <w:rsid w:val="00E96B1B"/>
    <w:rsid w:val="00EA2E7F"/>
    <w:rsid w:val="00EB25DA"/>
    <w:rsid w:val="00EB310D"/>
    <w:rsid w:val="00EE0820"/>
    <w:rsid w:val="00EF0713"/>
    <w:rsid w:val="00F025BF"/>
    <w:rsid w:val="00F125BF"/>
    <w:rsid w:val="00F168F9"/>
    <w:rsid w:val="00F25CA7"/>
    <w:rsid w:val="00F27544"/>
    <w:rsid w:val="00F427DD"/>
    <w:rsid w:val="00F45451"/>
    <w:rsid w:val="00F51C15"/>
    <w:rsid w:val="00F56F76"/>
    <w:rsid w:val="00F75DFD"/>
    <w:rsid w:val="00F90945"/>
    <w:rsid w:val="00F924A2"/>
    <w:rsid w:val="00F941BD"/>
    <w:rsid w:val="00FC1C35"/>
    <w:rsid w:val="00FD531E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EF299"/>
  <w15:chartTrackingRefBased/>
  <w15:docId w15:val="{2391FF51-DD31-4224-9FA8-00A651B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5DE"/>
  </w:style>
  <w:style w:type="paragraph" w:styleId="Stopka">
    <w:name w:val="footer"/>
    <w:basedOn w:val="Normalny"/>
    <w:link w:val="StopkaZnak"/>
    <w:uiPriority w:val="99"/>
    <w:unhideWhenUsed/>
    <w:rsid w:val="0055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5DE"/>
  </w:style>
  <w:style w:type="character" w:styleId="Pogrubienie">
    <w:name w:val="Strong"/>
    <w:basedOn w:val="Domylnaczcionkaakapitu"/>
    <w:uiPriority w:val="22"/>
    <w:qFormat/>
    <w:rsid w:val="005555D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1A77"/>
    <w:rPr>
      <w:color w:val="0000FF"/>
      <w:u w:val="single"/>
    </w:rPr>
  </w:style>
  <w:style w:type="character" w:customStyle="1" w:styleId="Ohne">
    <w:name w:val="Ohne"/>
    <w:rsid w:val="00151A77"/>
  </w:style>
  <w:style w:type="character" w:customStyle="1" w:styleId="Hyperlink0">
    <w:name w:val="Hyperlink.0"/>
    <w:basedOn w:val="Ohne"/>
    <w:rsid w:val="00151A77"/>
    <w:rPr>
      <w:rFonts w:ascii="Calibri Light" w:eastAsia="Calibri Light" w:hAnsi="Calibri Light" w:cs="Calibri Light"/>
      <w:outline w:val="0"/>
      <w:color w:val="0000FF"/>
      <w:sz w:val="20"/>
      <w:szCs w:val="20"/>
      <w:u w:val="single" w:color="0000FF"/>
      <w:lang w:val="en-US"/>
    </w:rPr>
  </w:style>
  <w:style w:type="paragraph" w:styleId="Poprawka">
    <w:name w:val="Revision"/>
    <w:hidden/>
    <w:uiPriority w:val="99"/>
    <w:semiHidden/>
    <w:rsid w:val="00F168F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7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7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ADD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C9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41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lobalhydroge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24EC-406D-4556-8359-FED9E575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2</cp:revision>
  <cp:lastPrinted>2022-05-16T06:39:00Z</cp:lastPrinted>
  <dcterms:created xsi:type="dcterms:W3CDTF">2022-09-21T07:11:00Z</dcterms:created>
  <dcterms:modified xsi:type="dcterms:W3CDTF">2022-09-21T07:11:00Z</dcterms:modified>
</cp:coreProperties>
</file>